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40" w:rsidRDefault="00B67440"/>
    <w:tbl>
      <w:tblPr>
        <w:tblW w:w="11579" w:type="dxa"/>
        <w:tblLook w:val="04A0" w:firstRow="1" w:lastRow="0" w:firstColumn="1" w:lastColumn="0" w:noHBand="0" w:noVBand="1"/>
      </w:tblPr>
      <w:tblGrid>
        <w:gridCol w:w="2843"/>
        <w:gridCol w:w="1257"/>
        <w:gridCol w:w="1113"/>
        <w:gridCol w:w="1040"/>
        <w:gridCol w:w="1113"/>
        <w:gridCol w:w="1405"/>
        <w:gridCol w:w="1224"/>
        <w:gridCol w:w="1020"/>
        <w:gridCol w:w="1020"/>
      </w:tblGrid>
      <w:tr w:rsidR="00815D7C" w:rsidRPr="00815D7C" w:rsidTr="00815D7C">
        <w:trPr>
          <w:trHeight w:val="285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 Schedule showing Pupil </w:t>
            </w:r>
            <w:proofErr w:type="spellStart"/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Premuim</w:t>
            </w:r>
            <w:proofErr w:type="spellEnd"/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as at 30th September 2018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Pupil </w:t>
            </w:r>
            <w:proofErr w:type="spellStart"/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Premuim</w:t>
            </w:r>
            <w:proofErr w:type="spellEnd"/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received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2018/19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£27,980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£18,480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PP service children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Looked After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£9,200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93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Staffing Costs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171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Term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TA - KS1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HLTA- KS2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TA -EYS(summer) KS2(autumn &amp; Spring)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570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Amount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Amount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days per week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Amount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Summer 2017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£2,204.50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£3,256.80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£4,450.70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Autumn 2017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£2,204.50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£3,256.80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£4,450.60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Spring 2018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£2,204.60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£3,256.80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£4,450.70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93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£6,613.60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£9,770.40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£13,352.00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Resources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TT after school clubs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£180.00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Resources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£180.00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:rsid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Summary of costs 2018/19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TA - Key stage 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£6,613.60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HLTA - Key stage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£9,770.40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TA - Key stage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£13,352.00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Resources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£180.00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color w:val="000000"/>
                <w:lang w:eastAsia="en-GB"/>
              </w:rPr>
              <w:t>Total Costs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15D7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£29,916.00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15D7C" w:rsidRPr="00815D7C" w:rsidTr="00815D7C">
        <w:trPr>
          <w:trHeight w:val="28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7C" w:rsidRPr="00815D7C" w:rsidRDefault="00815D7C" w:rsidP="00815D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1984"/>
      </w:tblGrid>
      <w:tr w:rsidR="00B754E0" w:rsidRPr="002954A6" w:rsidTr="00B87350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B754E0" w:rsidRPr="00903196" w:rsidRDefault="00B754E0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Planned Pupil Premium </w:t>
            </w:r>
            <w:r w:rsidRPr="00B754E0">
              <w:rPr>
                <w:rFonts w:ascii="Arial" w:hAnsi="Arial" w:cs="Arial"/>
                <w:b/>
              </w:rPr>
              <w:t>expenditure</w:t>
            </w:r>
            <w:r w:rsidR="00903196">
              <w:rPr>
                <w:rFonts w:ascii="Arial" w:hAnsi="Arial" w:cs="Arial"/>
                <w:b/>
              </w:rPr>
              <w:t xml:space="preserve"> - </w:t>
            </w:r>
            <w:r w:rsidR="00815D7C">
              <w:rPr>
                <w:rFonts w:ascii="Arial" w:hAnsi="Arial" w:cs="Arial"/>
                <w:b/>
                <w:sz w:val="18"/>
                <w:szCs w:val="18"/>
              </w:rPr>
              <w:t>£27,980Pupil Premium   + £9,200</w:t>
            </w:r>
            <w:r w:rsidR="00903196" w:rsidRPr="009031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5D7C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903196" w:rsidRPr="00903196">
              <w:rPr>
                <w:rFonts w:ascii="Arial" w:hAnsi="Arial" w:cs="Arial"/>
                <w:b/>
                <w:sz w:val="18"/>
                <w:szCs w:val="18"/>
              </w:rPr>
              <w:t xml:space="preserve"> LAC</w:t>
            </w:r>
            <w:r w:rsidR="00815D7C">
              <w:rPr>
                <w:rFonts w:ascii="Arial" w:hAnsi="Arial" w:cs="Arial"/>
                <w:b/>
                <w:sz w:val="18"/>
                <w:szCs w:val="18"/>
              </w:rPr>
              <w:t xml:space="preserve"> + £300 service children</w:t>
            </w:r>
            <w:bookmarkStart w:id="0" w:name="_GoBack"/>
            <w:bookmarkEnd w:id="0"/>
          </w:p>
        </w:tc>
      </w:tr>
      <w:tr w:rsidR="00B754E0" w:rsidRPr="002954A6" w:rsidTr="00B87350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:rsidR="00B754E0" w:rsidRPr="002954A6" w:rsidRDefault="002A0803" w:rsidP="00B87350">
            <w:pPr>
              <w:pStyle w:val="ListParagraph"/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="00B754E0">
              <w:rPr>
                <w:rFonts w:ascii="Arial" w:hAnsi="Arial" w:cs="Arial"/>
                <w:b/>
              </w:rPr>
              <w:t>/</w:t>
            </w:r>
            <w:r w:rsidR="00B754E0" w:rsidRPr="002954A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  <w:tr w:rsidR="00B754E0" w:rsidRPr="002954A6" w:rsidTr="00B87350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387F7E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754E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754E0" w:rsidRPr="00387F7E">
              <w:rPr>
                <w:rFonts w:ascii="Arial" w:hAnsi="Arial" w:cs="Arial"/>
                <w:sz w:val="18"/>
                <w:szCs w:val="18"/>
              </w:rPr>
              <w:t>Improved progress for high attaining pupils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387F7E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B754E0">
              <w:rPr>
                <w:rFonts w:ascii="Arial" w:hAnsi="Arial" w:cs="Arial"/>
                <w:sz w:val="18"/>
                <w:szCs w:val="18"/>
              </w:rPr>
              <w:t>. Development of confidence, self-esteem, understanding of the world and vocabulary</w:t>
            </w: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Staff training on developing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for the high attaining pupil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in EYFS and </w:t>
            </w:r>
            <w:r>
              <w:rPr>
                <w:rFonts w:ascii="Arial" w:hAnsi="Arial" w:cs="Arial"/>
                <w:sz w:val="18"/>
                <w:szCs w:val="18"/>
              </w:rPr>
              <w:t>throughout the school:  creating a “language environment”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 scheme implemented to support structured development of reading, writing and comprehension throughout the school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 children are supported to develop aspirations, experience, vocabulary  and interests through opportunities to go on enrichment visits and to attend specialist clubs and activities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Research shows that there is 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30 million word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gap at age 3 between disadvantaged and “educating” homes.  It is important to enable disadvantaged children to experience a rich variety of vocabulary and language structures; also to allow them to widen their experience through the medium of book-sharing and real experiences.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High ability pupils</w:t>
            </w:r>
            <w:r>
              <w:rPr>
                <w:rFonts w:ascii="Arial" w:hAnsi="Arial" w:cs="Arial"/>
                <w:sz w:val="18"/>
                <w:szCs w:val="18"/>
              </w:rPr>
              <w:t xml:space="preserve"> eligible for PP need additional support to reach higher attaining levels in maths.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We want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ensure that PP pupils can achieve high attainment as well as simply ‘meeting expected standards’. </w:t>
            </w:r>
          </w:p>
          <w:p w:rsidR="00B754E0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 throughout the school are receiving CPD on identifying ways in supporting and challenging PP children in understanding mathematical concepts and applying them.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Default="00B754E0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Monitoring to ensure that all PP children have opportunities to attend enrichment clubs and activities, and to attend theatre visits, educational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visits</w:t>
            </w:r>
            <w:r w:rsidR="0090319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903196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Course selected using evidence of effectiveness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A0803" w:rsidRPr="00AE78F2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Use INSET days to deliver training.  </w:t>
            </w:r>
          </w:p>
          <w:p w:rsidR="002A0803" w:rsidRPr="00761F2E" w:rsidRDefault="002A0803" w:rsidP="002A080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Peer observation of attendees’ classes after the course, to embed learning (no assessment).   </w:t>
            </w:r>
          </w:p>
        </w:tc>
        <w:tc>
          <w:tcPr>
            <w:tcW w:w="1276" w:type="dxa"/>
            <w:shd w:val="clear" w:color="auto" w:fill="auto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 lead/ Assistant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Head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Headteacher</w:t>
            </w:r>
            <w:proofErr w:type="spellEnd"/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Basic Skills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lead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HT)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Headteacher</w:t>
            </w:r>
            <w:proofErr w:type="spellEnd"/>
          </w:p>
        </w:tc>
        <w:tc>
          <w:tcPr>
            <w:tcW w:w="1984" w:type="dxa"/>
          </w:tcPr>
          <w:p w:rsidR="00B754E0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and July 2019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and July 2019</w:t>
            </w:r>
          </w:p>
          <w:p w:rsidR="002A0803" w:rsidRPr="00AE78F2" w:rsidRDefault="002A0803" w:rsidP="00B873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2184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C.</w:t>
            </w:r>
            <w:r w:rsidR="00B754E0">
              <w:rPr>
                <w:rFonts w:ascii="Arial" w:hAnsi="Arial" w:cs="Arial"/>
                <w:sz w:val="18"/>
                <w:szCs w:val="18"/>
              </w:rPr>
              <w:t>Improved</w:t>
            </w:r>
            <w:proofErr w:type="spellEnd"/>
            <w:r w:rsidR="00B754E0">
              <w:rPr>
                <w:rFonts w:ascii="Arial" w:hAnsi="Arial" w:cs="Arial"/>
                <w:sz w:val="18"/>
                <w:szCs w:val="18"/>
              </w:rPr>
              <w:t xml:space="preserve"> progress for </w:t>
            </w:r>
            <w:r w:rsidR="00B754E0" w:rsidRPr="00AE78F2">
              <w:rPr>
                <w:rFonts w:ascii="Arial" w:hAnsi="Arial" w:cs="Arial"/>
                <w:sz w:val="18"/>
                <w:szCs w:val="18"/>
              </w:rPr>
              <w:t>high attaining pupils</w:t>
            </w:r>
            <w:r w:rsidR="00B754E0">
              <w:rPr>
                <w:rFonts w:ascii="Arial" w:hAnsi="Arial" w:cs="Arial"/>
                <w:sz w:val="18"/>
                <w:szCs w:val="18"/>
              </w:rPr>
              <w:t xml:space="preserve"> in all areas, particularly mathematics.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CPD on providing stretch for high attaining pupils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Mastery Maths Project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authority backed scheme already showing impact in other schools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0803">
              <w:rPr>
                <w:rFonts w:ascii="Arial" w:hAnsi="Arial" w:cs="Arial"/>
                <w:sz w:val="18"/>
                <w:szCs w:val="18"/>
              </w:rPr>
              <w:t>Invest time</w:t>
            </w:r>
          </w:p>
        </w:tc>
        <w:tc>
          <w:tcPr>
            <w:tcW w:w="1276" w:type="dxa"/>
            <w:shd w:val="clear" w:color="auto" w:fill="auto"/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March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July  2018</w:t>
            </w:r>
            <w:proofErr w:type="gramEnd"/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38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903196">
              <w:rPr>
                <w:rFonts w:ascii="Arial" w:hAnsi="Arial" w:cs="Arial"/>
                <w:sz w:val="18"/>
                <w:szCs w:val="18"/>
              </w:rPr>
              <w:t>18,000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2954A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4E0" w:rsidRPr="002954A6" w:rsidTr="00B87350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5341E9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586C0E" w:rsidRDefault="00B754E0" w:rsidP="00B87350">
            <w:pPr>
              <w:rPr>
                <w:rFonts w:ascii="Arial" w:hAnsi="Arial" w:cs="Arial"/>
                <w:b/>
              </w:rPr>
            </w:pPr>
          </w:p>
        </w:tc>
      </w:tr>
      <w:tr w:rsidR="00B754E0" w:rsidRPr="002954A6" w:rsidTr="00B87350"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62114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hRule="exact" w:val="2766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 Improved progress for high attaining pupils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Weekly small group sessions in maths for high-attaining pupils with experienced teacher, in addition to standard lessons.  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to one and small group tuition for children who, for personal reasons need to “keep up” or accelerate progress.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 want to provide extra support to maintain high attainment. Small group interventions with highly qualified staff </w:t>
            </w:r>
            <w:r>
              <w:rPr>
                <w:rFonts w:ascii="Arial" w:hAnsi="Arial" w:cs="Arial"/>
                <w:sz w:val="18"/>
                <w:szCs w:val="18"/>
              </w:rPr>
              <w:t>have been shown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to be effective</w:t>
            </w:r>
            <w:r>
              <w:rPr>
                <w:rFonts w:ascii="Arial" w:hAnsi="Arial" w:cs="Arial"/>
                <w:sz w:val="18"/>
                <w:szCs w:val="18"/>
              </w:rPr>
              <w:t>, as discussed in reliable evidence sources such as Visible Learning by John Hattie and the EEF Toolkit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. We want to combine this additional provision with </w:t>
            </w:r>
            <w:r>
              <w:rPr>
                <w:rFonts w:ascii="Arial" w:hAnsi="Arial" w:cs="Arial"/>
                <w:sz w:val="18"/>
                <w:szCs w:val="18"/>
              </w:rPr>
              <w:t>additional opportunities to develop application of mathematics skills and investigation/mastery learning opportunities.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Extra teaching time and preparation </w:t>
            </w:r>
            <w:r>
              <w:rPr>
                <w:rFonts w:ascii="Arial" w:hAnsi="Arial" w:cs="Arial"/>
                <w:sz w:val="18"/>
                <w:szCs w:val="18"/>
              </w:rPr>
              <w:t>time paid for out of PP budget.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Experienced one to one tutors to work with identified groups and monitor progress and attainment.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Engage with parents and pupils before intervention begins to address any concerns</w:t>
            </w:r>
            <w:r>
              <w:rPr>
                <w:rFonts w:ascii="Arial" w:hAnsi="Arial" w:cs="Arial"/>
                <w:sz w:val="18"/>
                <w:szCs w:val="18"/>
              </w:rPr>
              <w:t xml:space="preserve"> or questions about the additional sessions</w:t>
            </w:r>
            <w:r w:rsidRPr="00004FB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HT and HT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B754E0" w:rsidRPr="00004FB6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2019</w:t>
            </w:r>
          </w:p>
        </w:tc>
      </w:tr>
      <w:tr w:rsidR="00B754E0" w:rsidRPr="002954A6" w:rsidTr="00B87350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:rsidR="00B754E0" w:rsidRPr="002954A6" w:rsidRDefault="00B754E0" w:rsidP="00903196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sz w:val="18"/>
                <w:szCs w:val="18"/>
              </w:rPr>
              <w:t>£</w:t>
            </w:r>
            <w:r w:rsidR="00903196"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</w:tr>
      <w:tr w:rsidR="00B754E0" w:rsidRPr="002954A6" w:rsidTr="00B87350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A01B36" w:rsidRDefault="00A01B36" w:rsidP="00B87350">
            <w:pPr>
              <w:rPr>
                <w:rFonts w:ascii="Arial" w:hAnsi="Arial" w:cs="Arial"/>
                <w:b/>
              </w:rPr>
            </w:pPr>
          </w:p>
          <w:p w:rsidR="00A01B36" w:rsidRDefault="00A01B36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Pr="00C41DC5" w:rsidRDefault="00B754E0" w:rsidP="00B87350">
            <w:pPr>
              <w:rPr>
                <w:rFonts w:ascii="Arial" w:hAnsi="Arial" w:cs="Arial"/>
                <w:b/>
              </w:rPr>
            </w:pPr>
          </w:p>
          <w:p w:rsidR="00B754E0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</w:p>
          <w:p w:rsidR="00B754E0" w:rsidRPr="002954A6" w:rsidRDefault="00B754E0" w:rsidP="00B754E0">
            <w:pPr>
              <w:pStyle w:val="ListParagraph"/>
              <w:numPr>
                <w:ilvl w:val="0"/>
                <w:numId w:val="1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B754E0" w:rsidRPr="002954A6" w:rsidTr="00B87350"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:rsidR="00B754E0" w:rsidRPr="002954A6" w:rsidRDefault="00B754E0" w:rsidP="00B87350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:rsidR="00B754E0" w:rsidRPr="00262114" w:rsidRDefault="00B754E0" w:rsidP="00B87350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B754E0" w:rsidRPr="002954A6" w:rsidTr="00B87350">
        <w:trPr>
          <w:trHeight w:val="680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. Increased attendance rates  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support worker employed to monitor pupils and follow up quickly on absences. First day response provision.  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We can’t improve attainment for children if they aren’t actually attending school.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NfER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briefing for school leaders identifies addressing attendance as a key step.</w:t>
            </w: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Attendance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lead  is</w:t>
            </w:r>
            <w:proofErr w:type="gramEnd"/>
            <w:r w:rsidR="00B754E0">
              <w:rPr>
                <w:rFonts w:ascii="Arial" w:hAnsi="Arial" w:cs="Arial"/>
                <w:sz w:val="18"/>
                <w:szCs w:val="18"/>
              </w:rPr>
              <w:t xml:space="preserve"> works closely with senior leaders.</w:t>
            </w:r>
            <w:r w:rsidR="00903196">
              <w:rPr>
                <w:rFonts w:ascii="Arial" w:hAnsi="Arial" w:cs="Arial"/>
                <w:sz w:val="18"/>
                <w:szCs w:val="18"/>
              </w:rPr>
              <w:t xml:space="preserve"> Tracking 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03196">
              <w:rPr>
                <w:rFonts w:ascii="Arial" w:hAnsi="Arial" w:cs="Arial"/>
                <w:sz w:val="18"/>
                <w:szCs w:val="18"/>
              </w:rPr>
              <w:t>monitoring</w:t>
            </w:r>
            <w:proofErr w:type="spellEnd"/>
            <w:r w:rsidR="00903196">
              <w:rPr>
                <w:rFonts w:ascii="Arial" w:hAnsi="Arial" w:cs="Arial"/>
                <w:sz w:val="18"/>
                <w:szCs w:val="18"/>
              </w:rPr>
              <w:t xml:space="preserve"> working with parents.</w:t>
            </w:r>
          </w:p>
          <w:p w:rsidR="002A0803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2A0803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AE78F2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 and Attendance lead</w:t>
            </w:r>
          </w:p>
        </w:tc>
        <w:tc>
          <w:tcPr>
            <w:tcW w:w="1984" w:type="dxa"/>
          </w:tcPr>
          <w:p w:rsidR="00B754E0" w:rsidRPr="00AE78F2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2019 alongside monthly reviews</w:t>
            </w:r>
          </w:p>
        </w:tc>
      </w:tr>
      <w:tr w:rsidR="00B754E0" w:rsidRPr="002954A6" w:rsidTr="00B87350">
        <w:trPr>
          <w:trHeight w:val="1150"/>
        </w:trPr>
        <w:tc>
          <w:tcPr>
            <w:tcW w:w="2235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Parents feel able to support and parent their children; increased engagement with school.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Identify </w:t>
            </w:r>
            <w:r>
              <w:rPr>
                <w:rFonts w:ascii="Arial" w:hAnsi="Arial" w:cs="Arial"/>
                <w:sz w:val="18"/>
                <w:szCs w:val="18"/>
              </w:rPr>
              <w:t xml:space="preserve">families who require support from FSA and identify needs.  FSA is able to support with behaviour management, a range of child protection and safeguarding interventions. 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Use support worker to engage with parents before </w:t>
            </w:r>
            <w:r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intervention begins.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Develop restorative approaches and focus on positive behaviours.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The EEF Toolkit suggests that targeted interventions matched to specific students with particular needs or behavioural issues can be effective, especially for older pupils.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Ensure identification of </w:t>
            </w:r>
            <w:r>
              <w:rPr>
                <w:rFonts w:ascii="Arial" w:hAnsi="Arial" w:cs="Arial"/>
                <w:sz w:val="18"/>
                <w:szCs w:val="18"/>
              </w:rPr>
              <w:t>target families and pupils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is fair, transparent and properly recorded.</w:t>
            </w:r>
          </w:p>
          <w:p w:rsidR="00B754E0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Monitor behaviour but also monitor whether improvements in behaviour translate into improved attainment. </w:t>
            </w:r>
          </w:p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54E0" w:rsidRPr="00004FB6" w:rsidRDefault="00B754E0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FSA and HT</w:t>
            </w:r>
          </w:p>
        </w:tc>
        <w:tc>
          <w:tcPr>
            <w:tcW w:w="1984" w:type="dxa"/>
          </w:tcPr>
          <w:p w:rsidR="00B754E0" w:rsidRPr="00004FB6" w:rsidRDefault="002A0803" w:rsidP="00B873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2019</w:t>
            </w:r>
          </w:p>
        </w:tc>
      </w:tr>
      <w:tr w:rsidR="00B754E0" w:rsidRPr="002954A6" w:rsidTr="00B87350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:rsidR="00B754E0" w:rsidRPr="002954A6" w:rsidRDefault="00B754E0" w:rsidP="00B87350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:rsidR="00903196" w:rsidRPr="002954A6" w:rsidRDefault="00903196" w:rsidP="00903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£3,260</w:t>
            </w:r>
          </w:p>
        </w:tc>
      </w:tr>
    </w:tbl>
    <w:p w:rsidR="009A1A3D" w:rsidRDefault="009A1A3D"/>
    <w:p w:rsidR="009A1A3D" w:rsidRPr="009A1A3D" w:rsidRDefault="009A1A3D" w:rsidP="009A1A3D"/>
    <w:p w:rsidR="009A1A3D" w:rsidRDefault="009A1A3D" w:rsidP="009A1A3D">
      <w:r w:rsidRPr="009A1A3D">
        <w:rPr>
          <w:noProof/>
          <w:lang w:eastAsia="en-GB"/>
        </w:rPr>
        <w:drawing>
          <wp:inline distT="0" distB="0" distL="0" distR="0">
            <wp:extent cx="9486900" cy="2223811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341" cy="222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4E0" w:rsidRDefault="00B754E0" w:rsidP="009A1A3D"/>
    <w:p w:rsidR="009A1A3D" w:rsidRDefault="009A1A3D" w:rsidP="009A1A3D"/>
    <w:p w:rsidR="002A0803" w:rsidRDefault="002A0803" w:rsidP="009A1A3D"/>
    <w:p w:rsidR="002A0803" w:rsidRDefault="002A0803" w:rsidP="002A0803"/>
    <w:p w:rsidR="009A1A3D" w:rsidRDefault="009A1A3D" w:rsidP="002A0803"/>
    <w:p w:rsidR="002A0803" w:rsidRDefault="002A0803" w:rsidP="002A0803"/>
    <w:p w:rsidR="002A0803" w:rsidRPr="002A0803" w:rsidRDefault="002A0803" w:rsidP="002A0803"/>
    <w:sectPr w:rsidR="002A0803" w:rsidRPr="002A0803" w:rsidSect="00B754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A92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E0"/>
    <w:rsid w:val="002A0803"/>
    <w:rsid w:val="00425293"/>
    <w:rsid w:val="004E4B3F"/>
    <w:rsid w:val="00815D7C"/>
    <w:rsid w:val="00903196"/>
    <w:rsid w:val="009A1A3D"/>
    <w:rsid w:val="00A01B36"/>
    <w:rsid w:val="00B67440"/>
    <w:rsid w:val="00B754E0"/>
    <w:rsid w:val="00B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6FD9"/>
  <w15:docId w15:val="{B29771CE-DC33-4375-80B8-7AE09DA4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E0"/>
    <w:pPr>
      <w:ind w:left="720"/>
    </w:pPr>
  </w:style>
  <w:style w:type="table" w:styleId="TableGrid">
    <w:name w:val="Table Grid"/>
    <w:basedOn w:val="TableNormal"/>
    <w:uiPriority w:val="59"/>
    <w:rsid w:val="00B7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</dc:creator>
  <cp:lastModifiedBy>SEvans</cp:lastModifiedBy>
  <cp:revision>2</cp:revision>
  <dcterms:created xsi:type="dcterms:W3CDTF">2019-02-21T06:54:00Z</dcterms:created>
  <dcterms:modified xsi:type="dcterms:W3CDTF">2019-02-21T06:54:00Z</dcterms:modified>
</cp:coreProperties>
</file>